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92" w:rsidRPr="00862B8D" w:rsidRDefault="007F1679" w:rsidP="007F1679">
      <w:pPr>
        <w:jc w:val="center"/>
        <w:rPr>
          <w:rFonts w:ascii="Arial" w:hAnsi="Arial" w:cs="Arial"/>
          <w:b/>
          <w:sz w:val="24"/>
          <w:szCs w:val="24"/>
          <w:lang w:val="en-US"/>
        </w:rPr>
      </w:pPr>
      <w:bookmarkStart w:id="0" w:name="_GoBack"/>
      <w:bookmarkEnd w:id="0"/>
      <w:r w:rsidRPr="00862B8D">
        <w:rPr>
          <w:rFonts w:ascii="Arial" w:hAnsi="Arial" w:cs="Arial"/>
          <w:b/>
          <w:sz w:val="24"/>
          <w:szCs w:val="24"/>
          <w:lang w:val="en-US"/>
        </w:rPr>
        <w:t>Gosport Borough Council</w:t>
      </w:r>
    </w:p>
    <w:p w:rsidR="007F1679" w:rsidRPr="00862B8D" w:rsidRDefault="007F1679" w:rsidP="007F1679">
      <w:pPr>
        <w:jc w:val="center"/>
        <w:rPr>
          <w:rFonts w:ascii="Arial" w:hAnsi="Arial" w:cs="Arial"/>
          <w:b/>
          <w:sz w:val="24"/>
          <w:szCs w:val="24"/>
          <w:lang w:val="en-US"/>
        </w:rPr>
      </w:pPr>
      <w:r w:rsidRPr="00862B8D">
        <w:rPr>
          <w:rFonts w:ascii="Arial" w:hAnsi="Arial" w:cs="Arial"/>
          <w:b/>
          <w:sz w:val="24"/>
          <w:szCs w:val="24"/>
          <w:lang w:val="en-US"/>
        </w:rPr>
        <w:t>Corporate Equality Objectives</w:t>
      </w:r>
    </w:p>
    <w:p w:rsidR="007F1679" w:rsidRPr="00862B8D" w:rsidRDefault="007F1679" w:rsidP="007F1679">
      <w:pPr>
        <w:jc w:val="center"/>
        <w:rPr>
          <w:rFonts w:ascii="Arial" w:hAnsi="Arial" w:cs="Arial"/>
          <w:b/>
          <w:sz w:val="24"/>
          <w:szCs w:val="24"/>
          <w:lang w:val="en-US"/>
        </w:rPr>
      </w:pPr>
      <w:r w:rsidRPr="00862B8D">
        <w:rPr>
          <w:rFonts w:ascii="Arial" w:hAnsi="Arial" w:cs="Arial"/>
          <w:b/>
          <w:sz w:val="24"/>
          <w:szCs w:val="24"/>
          <w:lang w:val="en-US"/>
        </w:rPr>
        <w:t xml:space="preserve"> 2022-2026</w:t>
      </w:r>
    </w:p>
    <w:p w:rsidR="007F1679" w:rsidRDefault="007F1679" w:rsidP="007F1679">
      <w:pPr>
        <w:rPr>
          <w:rFonts w:ascii="Arial" w:hAnsi="Arial" w:cs="Arial"/>
          <w:b/>
          <w:bCs/>
          <w:sz w:val="24"/>
          <w:szCs w:val="24"/>
        </w:rPr>
      </w:pPr>
      <w:r w:rsidRPr="007F1679">
        <w:rPr>
          <w:rFonts w:ascii="Arial" w:hAnsi="Arial" w:cs="Arial"/>
          <w:b/>
          <w:bCs/>
          <w:sz w:val="24"/>
          <w:szCs w:val="24"/>
        </w:rPr>
        <w:t xml:space="preserve">Objective 1: Improve our understanding of </w:t>
      </w:r>
      <w:r>
        <w:rPr>
          <w:rFonts w:ascii="Arial" w:hAnsi="Arial" w:cs="Arial"/>
          <w:b/>
          <w:bCs/>
          <w:sz w:val="24"/>
          <w:szCs w:val="24"/>
        </w:rPr>
        <w:t>Gosport</w:t>
      </w:r>
      <w:r w:rsidRPr="007F1679">
        <w:rPr>
          <w:rFonts w:ascii="Arial" w:hAnsi="Arial" w:cs="Arial"/>
          <w:b/>
          <w:bCs/>
          <w:sz w:val="24"/>
          <w:szCs w:val="24"/>
        </w:rPr>
        <w:t xml:space="preserve">’s community and its needs, through consultation and engagement, to complement existing data </w:t>
      </w:r>
      <w:r w:rsidR="007F5C34">
        <w:rPr>
          <w:rFonts w:ascii="Arial" w:hAnsi="Arial" w:cs="Arial"/>
          <w:b/>
          <w:bCs/>
          <w:sz w:val="24"/>
          <w:szCs w:val="24"/>
        </w:rPr>
        <w:t xml:space="preserve">sources </w:t>
      </w:r>
      <w:r w:rsidRPr="007F1679">
        <w:rPr>
          <w:rFonts w:ascii="Arial" w:hAnsi="Arial" w:cs="Arial"/>
          <w:b/>
          <w:bCs/>
          <w:sz w:val="24"/>
          <w:szCs w:val="24"/>
        </w:rPr>
        <w:t>(e.g. Census data</w:t>
      </w:r>
      <w:r>
        <w:rPr>
          <w:rFonts w:ascii="Arial" w:hAnsi="Arial" w:cs="Arial"/>
          <w:b/>
          <w:bCs/>
          <w:sz w:val="24"/>
          <w:szCs w:val="24"/>
        </w:rPr>
        <w:t>)</w:t>
      </w:r>
    </w:p>
    <w:tbl>
      <w:tblPr>
        <w:tblStyle w:val="TableGrid"/>
        <w:tblW w:w="0" w:type="auto"/>
        <w:tblLook w:val="04A0" w:firstRow="1" w:lastRow="0" w:firstColumn="1" w:lastColumn="0" w:noHBand="0" w:noVBand="1"/>
      </w:tblPr>
      <w:tblGrid>
        <w:gridCol w:w="2992"/>
        <w:gridCol w:w="3000"/>
        <w:gridCol w:w="3024"/>
      </w:tblGrid>
      <w:tr w:rsidR="007F1679" w:rsidTr="007F1679">
        <w:tc>
          <w:tcPr>
            <w:tcW w:w="3080" w:type="dxa"/>
          </w:tcPr>
          <w:p w:rsidR="007F1679" w:rsidRDefault="007F1679" w:rsidP="007F1679">
            <w:pPr>
              <w:rPr>
                <w:rFonts w:ascii="Arial" w:hAnsi="Arial" w:cs="Arial"/>
                <w:sz w:val="24"/>
                <w:szCs w:val="24"/>
                <w:lang w:val="en-US"/>
              </w:rPr>
            </w:pPr>
            <w:r>
              <w:rPr>
                <w:b/>
                <w:bCs/>
                <w:sz w:val="23"/>
                <w:szCs w:val="23"/>
              </w:rPr>
              <w:t>Specific actions</w:t>
            </w:r>
          </w:p>
        </w:tc>
        <w:tc>
          <w:tcPr>
            <w:tcW w:w="3081" w:type="dxa"/>
          </w:tcPr>
          <w:p w:rsidR="007F1679" w:rsidRPr="002577FC" w:rsidRDefault="007F1679" w:rsidP="007F1679">
            <w:pPr>
              <w:pStyle w:val="Default"/>
              <w:rPr>
                <w:rFonts w:asciiTheme="minorHAnsi" w:hAnsiTheme="minorHAnsi" w:cstheme="minorHAnsi"/>
                <w:sz w:val="23"/>
                <w:szCs w:val="23"/>
              </w:rPr>
            </w:pPr>
            <w:r w:rsidRPr="002577FC">
              <w:rPr>
                <w:rFonts w:asciiTheme="minorHAnsi" w:hAnsiTheme="minorHAnsi" w:cstheme="minorHAnsi"/>
                <w:b/>
                <w:bCs/>
                <w:sz w:val="23"/>
                <w:szCs w:val="23"/>
              </w:rPr>
              <w:t xml:space="preserve">Why is this action required? </w:t>
            </w:r>
          </w:p>
        </w:tc>
        <w:tc>
          <w:tcPr>
            <w:tcW w:w="3081" w:type="dxa"/>
          </w:tcPr>
          <w:p w:rsidR="007F1679" w:rsidRDefault="007F1679" w:rsidP="007F1679">
            <w:pPr>
              <w:rPr>
                <w:rFonts w:ascii="Arial" w:hAnsi="Arial" w:cs="Arial"/>
                <w:sz w:val="24"/>
                <w:szCs w:val="24"/>
                <w:lang w:val="en-US"/>
              </w:rPr>
            </w:pPr>
            <w:r>
              <w:rPr>
                <w:b/>
                <w:bCs/>
                <w:sz w:val="23"/>
                <w:szCs w:val="23"/>
              </w:rPr>
              <w:t>Equality Objective measure</w:t>
            </w:r>
          </w:p>
        </w:tc>
      </w:tr>
      <w:tr w:rsidR="007F1679" w:rsidTr="007F1679">
        <w:tc>
          <w:tcPr>
            <w:tcW w:w="3080" w:type="dxa"/>
          </w:tcPr>
          <w:p w:rsidR="007F1679" w:rsidRPr="008832A5" w:rsidRDefault="007F5C34" w:rsidP="007F5C34">
            <w:pPr>
              <w:rPr>
                <w:rFonts w:ascii="Arial" w:hAnsi="Arial" w:cs="Arial"/>
                <w:sz w:val="24"/>
                <w:szCs w:val="24"/>
                <w:lang w:val="en-US"/>
              </w:rPr>
            </w:pPr>
            <w:r w:rsidRPr="008832A5">
              <w:rPr>
                <w:rFonts w:ascii="Arial" w:hAnsi="Arial" w:cs="Arial"/>
                <w:sz w:val="24"/>
                <w:szCs w:val="24"/>
              </w:rPr>
              <w:t xml:space="preserve">Guidance and templates for </w:t>
            </w:r>
            <w:r>
              <w:rPr>
                <w:rFonts w:ascii="Arial" w:hAnsi="Arial" w:cs="Arial"/>
                <w:sz w:val="24"/>
                <w:szCs w:val="24"/>
              </w:rPr>
              <w:t>s</w:t>
            </w:r>
            <w:r w:rsidRPr="008832A5">
              <w:rPr>
                <w:rFonts w:ascii="Arial" w:hAnsi="Arial" w:cs="Arial"/>
                <w:sz w:val="24"/>
                <w:szCs w:val="24"/>
              </w:rPr>
              <w:t xml:space="preserve">tandard equality monitoring questions will </w:t>
            </w:r>
            <w:r>
              <w:rPr>
                <w:rFonts w:ascii="Arial" w:hAnsi="Arial" w:cs="Arial"/>
                <w:sz w:val="24"/>
                <w:szCs w:val="24"/>
              </w:rPr>
              <w:t>be reviewed annually and promoted for use</w:t>
            </w:r>
            <w:r w:rsidR="007F1679" w:rsidRPr="008832A5">
              <w:rPr>
                <w:rFonts w:ascii="Arial" w:hAnsi="Arial" w:cs="Arial"/>
                <w:sz w:val="24"/>
                <w:szCs w:val="24"/>
              </w:rPr>
              <w:t xml:space="preserve"> </w:t>
            </w:r>
            <w:r>
              <w:rPr>
                <w:rFonts w:ascii="Arial" w:hAnsi="Arial" w:cs="Arial"/>
                <w:sz w:val="24"/>
                <w:szCs w:val="24"/>
              </w:rPr>
              <w:t>with</w:t>
            </w:r>
            <w:r w:rsidR="007F1679" w:rsidRPr="008832A5">
              <w:rPr>
                <w:rFonts w:ascii="Arial" w:hAnsi="Arial" w:cs="Arial"/>
                <w:sz w:val="24"/>
                <w:szCs w:val="24"/>
              </w:rPr>
              <w:t xml:space="preserve"> customer </w:t>
            </w:r>
            <w:r>
              <w:rPr>
                <w:rFonts w:ascii="Arial" w:hAnsi="Arial" w:cs="Arial"/>
                <w:sz w:val="24"/>
                <w:szCs w:val="24"/>
              </w:rPr>
              <w:t xml:space="preserve">engagement and </w:t>
            </w:r>
            <w:r w:rsidR="007F1679" w:rsidRPr="008832A5">
              <w:rPr>
                <w:rFonts w:ascii="Arial" w:hAnsi="Arial" w:cs="Arial"/>
                <w:sz w:val="24"/>
                <w:szCs w:val="24"/>
              </w:rPr>
              <w:t>feedback surveys and consultations as appropriate</w:t>
            </w:r>
          </w:p>
        </w:tc>
        <w:tc>
          <w:tcPr>
            <w:tcW w:w="3081" w:type="dxa"/>
          </w:tcPr>
          <w:p w:rsidR="007F1679" w:rsidRPr="008832A5" w:rsidRDefault="007F1679" w:rsidP="007F1679">
            <w:pPr>
              <w:rPr>
                <w:rFonts w:ascii="Arial" w:hAnsi="Arial" w:cs="Arial"/>
                <w:sz w:val="24"/>
                <w:szCs w:val="24"/>
                <w:lang w:val="en-US"/>
              </w:rPr>
            </w:pPr>
            <w:r w:rsidRPr="008832A5">
              <w:rPr>
                <w:rFonts w:ascii="Arial" w:hAnsi="Arial" w:cs="Arial"/>
                <w:sz w:val="24"/>
                <w:szCs w:val="24"/>
              </w:rPr>
              <w:t>To ensure the council has information about access to and experience of our services in relation to key equality groups, which can be used to inform service improvement and development</w:t>
            </w:r>
          </w:p>
        </w:tc>
        <w:tc>
          <w:tcPr>
            <w:tcW w:w="3081" w:type="dxa"/>
          </w:tcPr>
          <w:p w:rsidR="007F1679" w:rsidRPr="008832A5" w:rsidRDefault="007F5C34" w:rsidP="00CA268B">
            <w:pPr>
              <w:rPr>
                <w:rFonts w:ascii="Arial" w:hAnsi="Arial" w:cs="Arial"/>
                <w:sz w:val="24"/>
                <w:szCs w:val="24"/>
                <w:lang w:val="en-US"/>
              </w:rPr>
            </w:pPr>
            <w:r>
              <w:rPr>
                <w:rFonts w:ascii="Arial" w:hAnsi="Arial" w:cs="Arial"/>
                <w:sz w:val="24"/>
                <w:szCs w:val="24"/>
              </w:rPr>
              <w:t xml:space="preserve">Uses of the corporate equality monitoring questions will be recorded and </w:t>
            </w:r>
            <w:r w:rsidR="007F1679" w:rsidRPr="008832A5">
              <w:rPr>
                <w:rFonts w:ascii="Arial" w:hAnsi="Arial" w:cs="Arial"/>
                <w:sz w:val="24"/>
                <w:szCs w:val="24"/>
              </w:rPr>
              <w:t xml:space="preserve">the </w:t>
            </w:r>
            <w:r>
              <w:rPr>
                <w:rFonts w:ascii="Arial" w:hAnsi="Arial" w:cs="Arial"/>
                <w:sz w:val="24"/>
                <w:szCs w:val="24"/>
              </w:rPr>
              <w:t xml:space="preserve">analysis of their results will </w:t>
            </w:r>
            <w:r w:rsidR="00CA268B">
              <w:rPr>
                <w:rFonts w:ascii="Arial" w:hAnsi="Arial" w:cs="Arial"/>
                <w:sz w:val="24"/>
                <w:szCs w:val="24"/>
              </w:rPr>
              <w:t>inform decision making.</w:t>
            </w:r>
            <w:r>
              <w:rPr>
                <w:rFonts w:ascii="Arial" w:hAnsi="Arial" w:cs="Arial"/>
                <w:sz w:val="24"/>
                <w:szCs w:val="24"/>
              </w:rPr>
              <w:t xml:space="preserve"> </w:t>
            </w:r>
          </w:p>
        </w:tc>
      </w:tr>
      <w:tr w:rsidR="007F1679" w:rsidTr="007F1679">
        <w:tc>
          <w:tcPr>
            <w:tcW w:w="3080" w:type="dxa"/>
          </w:tcPr>
          <w:p w:rsidR="007F1679" w:rsidRPr="008832A5" w:rsidRDefault="007F1679" w:rsidP="008832A5">
            <w:pPr>
              <w:pStyle w:val="Default"/>
              <w:rPr>
                <w:rFonts w:ascii="Arial" w:hAnsi="Arial" w:cs="Arial"/>
              </w:rPr>
            </w:pPr>
            <w:r w:rsidRPr="008832A5">
              <w:rPr>
                <w:rFonts w:ascii="Arial" w:hAnsi="Arial" w:cs="Arial"/>
              </w:rPr>
              <w:t>Continue to engage with a range of groups, organisations, and forums, and establish further links where necessary, so that our understanding of Gosport</w:t>
            </w:r>
            <w:r w:rsidR="008832A5" w:rsidRPr="008832A5">
              <w:rPr>
                <w:rFonts w:ascii="Arial" w:hAnsi="Arial" w:cs="Arial"/>
              </w:rPr>
              <w:t>’</w:t>
            </w:r>
            <w:r w:rsidRPr="008832A5">
              <w:rPr>
                <w:rFonts w:ascii="Arial" w:hAnsi="Arial" w:cs="Arial"/>
              </w:rPr>
              <w:t xml:space="preserve">s community and its needs remains current and gaps in our understanding are filled </w:t>
            </w:r>
          </w:p>
        </w:tc>
        <w:tc>
          <w:tcPr>
            <w:tcW w:w="3081" w:type="dxa"/>
          </w:tcPr>
          <w:p w:rsidR="007F1679" w:rsidRPr="008832A5" w:rsidRDefault="007F1679" w:rsidP="008832A5">
            <w:pPr>
              <w:rPr>
                <w:rFonts w:ascii="Arial" w:hAnsi="Arial" w:cs="Arial"/>
                <w:sz w:val="24"/>
                <w:szCs w:val="24"/>
                <w:lang w:val="en-US"/>
              </w:rPr>
            </w:pPr>
            <w:r w:rsidRPr="008832A5">
              <w:rPr>
                <w:rFonts w:ascii="Arial" w:hAnsi="Arial" w:cs="Arial"/>
                <w:sz w:val="24"/>
                <w:szCs w:val="24"/>
              </w:rPr>
              <w:t xml:space="preserve">To ensure we have robust and current information about </w:t>
            </w:r>
            <w:r w:rsidR="008832A5" w:rsidRPr="008832A5">
              <w:rPr>
                <w:rFonts w:ascii="Arial" w:hAnsi="Arial" w:cs="Arial"/>
                <w:sz w:val="24"/>
                <w:szCs w:val="24"/>
              </w:rPr>
              <w:t>new and emerging groups and their needs in Gosport</w:t>
            </w:r>
            <w:r w:rsidRPr="008832A5">
              <w:rPr>
                <w:rFonts w:ascii="Arial" w:hAnsi="Arial" w:cs="Arial"/>
                <w:sz w:val="24"/>
                <w:szCs w:val="24"/>
              </w:rPr>
              <w:t xml:space="preserve"> to help the council, its partners and communities to improve the lives of residents</w:t>
            </w:r>
          </w:p>
        </w:tc>
        <w:tc>
          <w:tcPr>
            <w:tcW w:w="3081" w:type="dxa"/>
          </w:tcPr>
          <w:p w:rsidR="007F1679" w:rsidRPr="008832A5" w:rsidRDefault="008832A5" w:rsidP="00912D5E">
            <w:pPr>
              <w:rPr>
                <w:rFonts w:ascii="Arial" w:hAnsi="Arial" w:cs="Arial"/>
                <w:sz w:val="24"/>
                <w:szCs w:val="24"/>
                <w:lang w:val="en-US"/>
              </w:rPr>
            </w:pPr>
            <w:r>
              <w:rPr>
                <w:rFonts w:ascii="Arial" w:hAnsi="Arial" w:cs="Arial"/>
                <w:sz w:val="24"/>
                <w:szCs w:val="24"/>
                <w:lang w:val="en-US"/>
              </w:rPr>
              <w:t xml:space="preserve">Information about new and emerging groups and needs will be shared </w:t>
            </w:r>
            <w:r w:rsidR="00274772">
              <w:rPr>
                <w:rFonts w:ascii="Arial" w:hAnsi="Arial" w:cs="Arial"/>
                <w:sz w:val="24"/>
                <w:szCs w:val="24"/>
                <w:lang w:val="en-US"/>
              </w:rPr>
              <w:t>internally with services and externally with</w:t>
            </w:r>
            <w:r>
              <w:rPr>
                <w:rFonts w:ascii="Arial" w:hAnsi="Arial" w:cs="Arial"/>
                <w:sz w:val="24"/>
                <w:szCs w:val="24"/>
                <w:lang w:val="en-US"/>
              </w:rPr>
              <w:t xml:space="preserve"> partners</w:t>
            </w:r>
            <w:r w:rsidR="00274772">
              <w:rPr>
                <w:rFonts w:ascii="Arial" w:hAnsi="Arial" w:cs="Arial"/>
                <w:sz w:val="24"/>
                <w:szCs w:val="24"/>
                <w:lang w:val="en-US"/>
              </w:rPr>
              <w:t xml:space="preserve"> via the Council’s information networks</w:t>
            </w:r>
            <w:r w:rsidR="00912D5E">
              <w:rPr>
                <w:rFonts w:ascii="Arial" w:hAnsi="Arial" w:cs="Arial"/>
                <w:sz w:val="24"/>
                <w:szCs w:val="24"/>
                <w:lang w:val="en-US"/>
              </w:rPr>
              <w:t>, partnerships and forums and can be recorded</w:t>
            </w:r>
            <w:r>
              <w:rPr>
                <w:rFonts w:ascii="Arial" w:hAnsi="Arial" w:cs="Arial"/>
                <w:sz w:val="24"/>
                <w:szCs w:val="24"/>
                <w:lang w:val="en-US"/>
              </w:rPr>
              <w:t>.</w:t>
            </w:r>
            <w:r w:rsidR="00C769AD">
              <w:rPr>
                <w:rFonts w:ascii="Arial" w:hAnsi="Arial" w:cs="Arial"/>
                <w:sz w:val="24"/>
                <w:szCs w:val="24"/>
                <w:lang w:val="en-US"/>
              </w:rPr>
              <w:t xml:space="preserve"> </w:t>
            </w:r>
          </w:p>
        </w:tc>
      </w:tr>
      <w:tr w:rsidR="007B0EA2" w:rsidTr="007F1679">
        <w:tc>
          <w:tcPr>
            <w:tcW w:w="3080" w:type="dxa"/>
          </w:tcPr>
          <w:p w:rsidR="007B0EA2" w:rsidRPr="007B0EA2" w:rsidRDefault="007B0EA2" w:rsidP="007B0EA2">
            <w:pPr>
              <w:rPr>
                <w:rFonts w:ascii="Arial" w:hAnsi="Arial" w:cs="Arial"/>
                <w:sz w:val="24"/>
                <w:szCs w:val="24"/>
              </w:rPr>
            </w:pPr>
            <w:r w:rsidRPr="007B0EA2">
              <w:rPr>
                <w:rFonts w:ascii="Arial" w:hAnsi="Arial" w:cs="Arial"/>
                <w:sz w:val="24"/>
                <w:szCs w:val="24"/>
              </w:rPr>
              <w:t xml:space="preserve">Continue to require Equality Impact Assessments are completed at an early stage before changes are made to any existing policies, strategies or functions and when new ones are being explored </w:t>
            </w:r>
          </w:p>
        </w:tc>
        <w:tc>
          <w:tcPr>
            <w:tcW w:w="3081" w:type="dxa"/>
          </w:tcPr>
          <w:p w:rsidR="007B0EA2" w:rsidRPr="007B0EA2" w:rsidRDefault="007B0EA2" w:rsidP="007B0EA2">
            <w:pPr>
              <w:rPr>
                <w:rFonts w:ascii="Arial" w:hAnsi="Arial" w:cs="Arial"/>
                <w:sz w:val="24"/>
                <w:szCs w:val="24"/>
              </w:rPr>
            </w:pPr>
            <w:r w:rsidRPr="007B0EA2">
              <w:rPr>
                <w:rFonts w:ascii="Arial" w:hAnsi="Arial" w:cs="Arial"/>
                <w:sz w:val="24"/>
                <w:szCs w:val="24"/>
              </w:rPr>
              <w:t>To help ensure any potential adverse impact of any changes to or new policies, strategies and functions have been sufficiently assessed and mitigated for all protected characteristics as well as other known marginalised groups before any implementation takes place.</w:t>
            </w:r>
          </w:p>
        </w:tc>
        <w:tc>
          <w:tcPr>
            <w:tcW w:w="3081" w:type="dxa"/>
          </w:tcPr>
          <w:p w:rsidR="007B0EA2" w:rsidRPr="007B0EA2" w:rsidRDefault="007B0EA2" w:rsidP="00912D5E">
            <w:pPr>
              <w:rPr>
                <w:rFonts w:ascii="Arial" w:hAnsi="Arial" w:cs="Arial"/>
                <w:sz w:val="24"/>
                <w:szCs w:val="24"/>
              </w:rPr>
            </w:pPr>
            <w:r w:rsidRPr="007B0EA2">
              <w:rPr>
                <w:rFonts w:ascii="Arial" w:hAnsi="Arial" w:cs="Arial"/>
                <w:sz w:val="24"/>
                <w:szCs w:val="24"/>
              </w:rPr>
              <w:t>The</w:t>
            </w:r>
            <w:r w:rsidR="00912D5E">
              <w:rPr>
                <w:rFonts w:ascii="Arial" w:hAnsi="Arial" w:cs="Arial"/>
                <w:sz w:val="24"/>
                <w:szCs w:val="24"/>
              </w:rPr>
              <w:t>re is a record of all</w:t>
            </w:r>
            <w:r w:rsidRPr="007B0EA2">
              <w:rPr>
                <w:rFonts w:ascii="Arial" w:hAnsi="Arial" w:cs="Arial"/>
                <w:sz w:val="24"/>
                <w:szCs w:val="24"/>
              </w:rPr>
              <w:t xml:space="preserve"> Integrated Impact Assessments</w:t>
            </w:r>
            <w:r w:rsidR="00912D5E">
              <w:rPr>
                <w:rFonts w:ascii="Arial" w:hAnsi="Arial" w:cs="Arial"/>
                <w:sz w:val="24"/>
                <w:szCs w:val="24"/>
              </w:rPr>
              <w:t xml:space="preserve"> that have been completed and attached </w:t>
            </w:r>
            <w:r w:rsidRPr="007B0EA2">
              <w:rPr>
                <w:rFonts w:ascii="Arial" w:hAnsi="Arial" w:cs="Arial"/>
                <w:sz w:val="24"/>
                <w:szCs w:val="24"/>
              </w:rPr>
              <w:t>to Board Reports. Recommendations for further consultation and/or mitigating actions required are also recorded.</w:t>
            </w:r>
          </w:p>
        </w:tc>
      </w:tr>
    </w:tbl>
    <w:p w:rsidR="007F1679" w:rsidRDefault="007F1679" w:rsidP="002577FC">
      <w:pPr>
        <w:tabs>
          <w:tab w:val="left" w:pos="2977"/>
        </w:tabs>
        <w:rPr>
          <w:rFonts w:ascii="Arial" w:hAnsi="Arial" w:cs="Arial"/>
          <w:sz w:val="24"/>
          <w:szCs w:val="24"/>
          <w:lang w:val="en-US"/>
        </w:rPr>
      </w:pPr>
    </w:p>
    <w:p w:rsidR="007B0EA2" w:rsidRDefault="007B0EA2" w:rsidP="002577FC">
      <w:pPr>
        <w:tabs>
          <w:tab w:val="left" w:pos="2977"/>
        </w:tabs>
        <w:rPr>
          <w:rFonts w:ascii="Arial" w:hAnsi="Arial" w:cs="Arial"/>
          <w:sz w:val="24"/>
          <w:szCs w:val="24"/>
          <w:lang w:val="en-US"/>
        </w:rPr>
      </w:pPr>
    </w:p>
    <w:p w:rsidR="007B0EA2" w:rsidRDefault="007B0EA2" w:rsidP="002577FC">
      <w:pPr>
        <w:tabs>
          <w:tab w:val="left" w:pos="2977"/>
        </w:tabs>
        <w:rPr>
          <w:rFonts w:ascii="Arial" w:hAnsi="Arial" w:cs="Arial"/>
          <w:sz w:val="24"/>
          <w:szCs w:val="24"/>
          <w:lang w:val="en-US"/>
        </w:rPr>
      </w:pPr>
    </w:p>
    <w:p w:rsidR="007B0EA2" w:rsidRDefault="007B0EA2" w:rsidP="002577FC">
      <w:pPr>
        <w:tabs>
          <w:tab w:val="left" w:pos="2977"/>
        </w:tabs>
        <w:rPr>
          <w:rFonts w:ascii="Arial" w:hAnsi="Arial" w:cs="Arial"/>
          <w:sz w:val="24"/>
          <w:szCs w:val="24"/>
          <w:lang w:val="en-US"/>
        </w:rPr>
      </w:pPr>
    </w:p>
    <w:p w:rsidR="002577FC" w:rsidRPr="002577FC" w:rsidRDefault="002577FC" w:rsidP="002577FC">
      <w:pPr>
        <w:rPr>
          <w:rFonts w:ascii="Arial" w:hAnsi="Arial" w:cs="Arial"/>
          <w:b/>
          <w:sz w:val="24"/>
          <w:szCs w:val="24"/>
        </w:rPr>
      </w:pPr>
      <w:r w:rsidRPr="002577FC">
        <w:rPr>
          <w:rFonts w:ascii="Arial" w:hAnsi="Arial" w:cs="Arial"/>
          <w:b/>
          <w:sz w:val="24"/>
          <w:szCs w:val="24"/>
        </w:rPr>
        <w:lastRenderedPageBreak/>
        <w:t xml:space="preserve">Objective </w:t>
      </w:r>
      <w:r w:rsidR="0071001D">
        <w:rPr>
          <w:rFonts w:ascii="Arial" w:hAnsi="Arial" w:cs="Arial"/>
          <w:b/>
          <w:sz w:val="24"/>
          <w:szCs w:val="24"/>
        </w:rPr>
        <w:t>2</w:t>
      </w:r>
      <w:r w:rsidRPr="002577FC">
        <w:rPr>
          <w:rFonts w:ascii="Arial" w:hAnsi="Arial" w:cs="Arial"/>
          <w:b/>
          <w:sz w:val="24"/>
          <w:szCs w:val="24"/>
        </w:rPr>
        <w:t xml:space="preserve">: </w:t>
      </w:r>
      <w:r w:rsidR="0071001D">
        <w:rPr>
          <w:rFonts w:ascii="Arial" w:hAnsi="Arial" w:cs="Arial"/>
          <w:b/>
          <w:sz w:val="24"/>
          <w:szCs w:val="24"/>
        </w:rPr>
        <w:t>C</w:t>
      </w:r>
      <w:r w:rsidRPr="002577FC">
        <w:rPr>
          <w:rFonts w:ascii="Arial" w:hAnsi="Arial" w:cs="Arial"/>
          <w:b/>
          <w:sz w:val="24"/>
          <w:szCs w:val="24"/>
        </w:rPr>
        <w:t>ontinue to celebrate diversity and promote inclusion within our workforce and community</w:t>
      </w:r>
    </w:p>
    <w:tbl>
      <w:tblPr>
        <w:tblStyle w:val="TableGrid"/>
        <w:tblW w:w="0" w:type="auto"/>
        <w:tblLook w:val="04A0" w:firstRow="1" w:lastRow="0" w:firstColumn="1" w:lastColumn="0" w:noHBand="0" w:noVBand="1"/>
      </w:tblPr>
      <w:tblGrid>
        <w:gridCol w:w="3007"/>
        <w:gridCol w:w="3009"/>
        <w:gridCol w:w="3000"/>
      </w:tblGrid>
      <w:tr w:rsidR="002577FC" w:rsidTr="002577FC">
        <w:tc>
          <w:tcPr>
            <w:tcW w:w="3080" w:type="dxa"/>
          </w:tcPr>
          <w:p w:rsidR="002577FC" w:rsidRDefault="002577FC" w:rsidP="002577FC">
            <w:pPr>
              <w:rPr>
                <w:rFonts w:ascii="Arial" w:hAnsi="Arial" w:cs="Arial"/>
                <w:sz w:val="24"/>
                <w:szCs w:val="24"/>
                <w:lang w:val="en-US"/>
              </w:rPr>
            </w:pPr>
            <w:r>
              <w:rPr>
                <w:b/>
                <w:bCs/>
                <w:sz w:val="23"/>
                <w:szCs w:val="23"/>
              </w:rPr>
              <w:t>Specific actions</w:t>
            </w:r>
          </w:p>
        </w:tc>
        <w:tc>
          <w:tcPr>
            <w:tcW w:w="3081" w:type="dxa"/>
          </w:tcPr>
          <w:p w:rsidR="002577FC" w:rsidRPr="002577FC" w:rsidRDefault="002577FC" w:rsidP="002577FC">
            <w:pPr>
              <w:pStyle w:val="Default"/>
              <w:rPr>
                <w:rFonts w:asciiTheme="minorHAnsi" w:hAnsiTheme="minorHAnsi" w:cstheme="minorHAnsi"/>
                <w:sz w:val="23"/>
                <w:szCs w:val="23"/>
              </w:rPr>
            </w:pPr>
            <w:r w:rsidRPr="002577FC">
              <w:rPr>
                <w:rFonts w:asciiTheme="minorHAnsi" w:hAnsiTheme="minorHAnsi" w:cstheme="minorHAnsi"/>
                <w:b/>
                <w:bCs/>
                <w:sz w:val="23"/>
                <w:szCs w:val="23"/>
              </w:rPr>
              <w:t xml:space="preserve">Why is this action required? </w:t>
            </w:r>
          </w:p>
        </w:tc>
        <w:tc>
          <w:tcPr>
            <w:tcW w:w="3081" w:type="dxa"/>
          </w:tcPr>
          <w:p w:rsidR="002577FC" w:rsidRDefault="002577FC" w:rsidP="002577FC">
            <w:pPr>
              <w:rPr>
                <w:rFonts w:ascii="Arial" w:hAnsi="Arial" w:cs="Arial"/>
                <w:sz w:val="24"/>
                <w:szCs w:val="24"/>
                <w:lang w:val="en-US"/>
              </w:rPr>
            </w:pPr>
            <w:r>
              <w:rPr>
                <w:b/>
                <w:bCs/>
                <w:sz w:val="23"/>
                <w:szCs w:val="23"/>
              </w:rPr>
              <w:t>Equality Objective measure</w:t>
            </w:r>
          </w:p>
        </w:tc>
      </w:tr>
      <w:tr w:rsidR="002577FC" w:rsidTr="002577FC">
        <w:tc>
          <w:tcPr>
            <w:tcW w:w="3080" w:type="dxa"/>
          </w:tcPr>
          <w:tbl>
            <w:tblPr>
              <w:tblW w:w="0" w:type="auto"/>
              <w:tblBorders>
                <w:top w:val="nil"/>
                <w:left w:val="nil"/>
                <w:bottom w:val="nil"/>
                <w:right w:val="nil"/>
              </w:tblBorders>
              <w:tblLook w:val="0000" w:firstRow="0" w:lastRow="0" w:firstColumn="0" w:lastColumn="0" w:noHBand="0" w:noVBand="0"/>
            </w:tblPr>
            <w:tblGrid>
              <w:gridCol w:w="2791"/>
            </w:tblGrid>
            <w:tr w:rsidR="002577FC" w:rsidRPr="00912D5E">
              <w:trPr>
                <w:trHeight w:val="667"/>
              </w:trPr>
              <w:tc>
                <w:tcPr>
                  <w:tcW w:w="0" w:type="auto"/>
                </w:tcPr>
                <w:p w:rsidR="002577FC" w:rsidRPr="00912D5E" w:rsidRDefault="0071001D" w:rsidP="00274772">
                  <w:pPr>
                    <w:autoSpaceDE w:val="0"/>
                    <w:autoSpaceDN w:val="0"/>
                    <w:adjustRightInd w:val="0"/>
                    <w:spacing w:after="0" w:line="240" w:lineRule="auto"/>
                    <w:rPr>
                      <w:rFonts w:ascii="Arial" w:hAnsi="Arial" w:cs="Arial"/>
                      <w:color w:val="000000"/>
                      <w:sz w:val="24"/>
                      <w:szCs w:val="24"/>
                    </w:rPr>
                  </w:pPr>
                  <w:r w:rsidRPr="00912D5E">
                    <w:rPr>
                      <w:rFonts w:ascii="Arial" w:hAnsi="Arial" w:cs="Arial"/>
                      <w:color w:val="000000"/>
                      <w:sz w:val="24"/>
                      <w:szCs w:val="24"/>
                    </w:rPr>
                    <w:t>Work with our partners to s</w:t>
                  </w:r>
                  <w:r w:rsidR="002577FC" w:rsidRPr="00912D5E">
                    <w:rPr>
                      <w:rFonts w:ascii="Arial" w:hAnsi="Arial" w:cs="Arial"/>
                      <w:color w:val="000000"/>
                      <w:sz w:val="24"/>
                      <w:szCs w:val="24"/>
                    </w:rPr>
                    <w:t>upport local and national diversity awareness and inclusion activities</w:t>
                  </w:r>
                  <w:r w:rsidRPr="00912D5E">
                    <w:rPr>
                      <w:rFonts w:ascii="Arial" w:hAnsi="Arial" w:cs="Arial"/>
                      <w:color w:val="000000"/>
                      <w:sz w:val="24"/>
                      <w:szCs w:val="24"/>
                    </w:rPr>
                    <w:t>, particularly for those who feel especially marginalised and vulnerable to abuse and discrimination</w:t>
                  </w:r>
                  <w:r w:rsidR="00274772" w:rsidRPr="00912D5E">
                    <w:rPr>
                      <w:rFonts w:ascii="Arial" w:hAnsi="Arial" w:cs="Arial"/>
                      <w:color w:val="000000"/>
                      <w:sz w:val="24"/>
                      <w:szCs w:val="24"/>
                    </w:rPr>
                    <w:t xml:space="preserve">. </w:t>
                  </w:r>
                </w:p>
              </w:tc>
            </w:tr>
          </w:tbl>
          <w:p w:rsidR="002577FC" w:rsidRPr="00912D5E" w:rsidRDefault="002577FC" w:rsidP="002577FC">
            <w:pPr>
              <w:tabs>
                <w:tab w:val="left" w:pos="2977"/>
              </w:tabs>
              <w:rPr>
                <w:rFonts w:ascii="Arial" w:hAnsi="Arial" w:cs="Arial"/>
                <w:sz w:val="24"/>
                <w:szCs w:val="24"/>
                <w:lang w:val="en-US"/>
              </w:rPr>
            </w:pPr>
          </w:p>
        </w:tc>
        <w:tc>
          <w:tcPr>
            <w:tcW w:w="3081" w:type="dxa"/>
          </w:tcPr>
          <w:tbl>
            <w:tblPr>
              <w:tblW w:w="0" w:type="auto"/>
              <w:tblBorders>
                <w:top w:val="nil"/>
                <w:left w:val="nil"/>
                <w:bottom w:val="nil"/>
                <w:right w:val="nil"/>
              </w:tblBorders>
              <w:tblLook w:val="0000" w:firstRow="0" w:lastRow="0" w:firstColumn="0" w:lastColumn="0" w:noHBand="0" w:noVBand="0"/>
            </w:tblPr>
            <w:tblGrid>
              <w:gridCol w:w="2793"/>
            </w:tblGrid>
            <w:tr w:rsidR="002577FC" w:rsidRPr="00912D5E">
              <w:trPr>
                <w:trHeight w:val="667"/>
              </w:trPr>
              <w:tc>
                <w:tcPr>
                  <w:tcW w:w="0" w:type="auto"/>
                </w:tcPr>
                <w:p w:rsidR="002577FC" w:rsidRPr="00912D5E" w:rsidRDefault="002577FC" w:rsidP="002577FC">
                  <w:pPr>
                    <w:autoSpaceDE w:val="0"/>
                    <w:autoSpaceDN w:val="0"/>
                    <w:adjustRightInd w:val="0"/>
                    <w:spacing w:after="0" w:line="240" w:lineRule="auto"/>
                    <w:rPr>
                      <w:rFonts w:ascii="Arial" w:hAnsi="Arial" w:cs="Arial"/>
                      <w:color w:val="000000"/>
                      <w:sz w:val="24"/>
                      <w:szCs w:val="24"/>
                    </w:rPr>
                  </w:pPr>
                  <w:r w:rsidRPr="00912D5E">
                    <w:rPr>
                      <w:rFonts w:ascii="Arial" w:hAnsi="Arial" w:cs="Arial"/>
                      <w:color w:val="000000"/>
                      <w:sz w:val="24"/>
                      <w:szCs w:val="24"/>
                    </w:rPr>
                    <w:t>To foster positive relations</w:t>
                  </w:r>
                  <w:r w:rsidR="0071001D" w:rsidRPr="00912D5E">
                    <w:rPr>
                      <w:rFonts w:ascii="Arial" w:hAnsi="Arial" w:cs="Arial"/>
                      <w:color w:val="000000"/>
                      <w:sz w:val="24"/>
                      <w:szCs w:val="24"/>
                    </w:rPr>
                    <w:t xml:space="preserve"> and better understanding and acceptance</w:t>
                  </w:r>
                  <w:r w:rsidRPr="00912D5E">
                    <w:rPr>
                      <w:rFonts w:ascii="Arial" w:hAnsi="Arial" w:cs="Arial"/>
                      <w:color w:val="000000"/>
                      <w:sz w:val="24"/>
                      <w:szCs w:val="24"/>
                    </w:rPr>
                    <w:t xml:space="preserve"> between people with different protected characteristics </w:t>
                  </w:r>
                </w:p>
              </w:tc>
            </w:tr>
          </w:tbl>
          <w:p w:rsidR="002577FC" w:rsidRPr="00912D5E" w:rsidRDefault="002577FC" w:rsidP="002577FC">
            <w:pPr>
              <w:tabs>
                <w:tab w:val="left" w:pos="2977"/>
              </w:tabs>
              <w:rPr>
                <w:rFonts w:ascii="Arial" w:hAnsi="Arial" w:cs="Arial"/>
                <w:sz w:val="24"/>
                <w:szCs w:val="24"/>
                <w:lang w:val="en-US"/>
              </w:rPr>
            </w:pPr>
          </w:p>
        </w:tc>
        <w:tc>
          <w:tcPr>
            <w:tcW w:w="3081" w:type="dxa"/>
          </w:tcPr>
          <w:p w:rsidR="0071001D" w:rsidRPr="00912D5E" w:rsidRDefault="0071001D" w:rsidP="0071001D">
            <w:pPr>
              <w:pStyle w:val="Default"/>
              <w:rPr>
                <w:rFonts w:ascii="Arial" w:hAnsi="Arial" w:cs="Arial"/>
              </w:rPr>
            </w:pPr>
            <w:r w:rsidRPr="00912D5E">
              <w:rPr>
                <w:rFonts w:ascii="Arial" w:hAnsi="Arial" w:cs="Arial"/>
              </w:rPr>
              <w:t>The range of diversity awareness and inclusion activities will be recorded and promoted via the Council’s communication channels</w:t>
            </w:r>
            <w:r w:rsidR="00274772" w:rsidRPr="00912D5E">
              <w:rPr>
                <w:rFonts w:ascii="Arial" w:hAnsi="Arial" w:cs="Arial"/>
              </w:rPr>
              <w:t xml:space="preserve">. These </w:t>
            </w:r>
            <w:r w:rsidR="00862B8D" w:rsidRPr="00912D5E">
              <w:rPr>
                <w:rFonts w:ascii="Arial" w:hAnsi="Arial" w:cs="Arial"/>
              </w:rPr>
              <w:t>may</w:t>
            </w:r>
            <w:r w:rsidR="00274772" w:rsidRPr="00912D5E">
              <w:rPr>
                <w:rFonts w:ascii="Arial" w:hAnsi="Arial" w:cs="Arial"/>
              </w:rPr>
              <w:t xml:space="preserve"> include, but are not limited to Hate Crime Week, White Ribbon Days of Action, LGBTQ Pride events, </w:t>
            </w:r>
            <w:r w:rsidR="004F7752" w:rsidRPr="00912D5E">
              <w:rPr>
                <w:rFonts w:ascii="Arial" w:hAnsi="Arial" w:cs="Arial"/>
              </w:rPr>
              <w:t xml:space="preserve">Holocaust Memorial Day, </w:t>
            </w:r>
            <w:r w:rsidR="00343CEE" w:rsidRPr="00912D5E">
              <w:rPr>
                <w:rFonts w:ascii="Arial" w:hAnsi="Arial" w:cs="Arial"/>
              </w:rPr>
              <w:t xml:space="preserve">Disability Awareness Day, </w:t>
            </w:r>
            <w:r w:rsidR="00274772" w:rsidRPr="00912D5E">
              <w:rPr>
                <w:rFonts w:ascii="Arial" w:hAnsi="Arial" w:cs="Arial"/>
              </w:rPr>
              <w:t>etc.</w:t>
            </w:r>
          </w:p>
          <w:p w:rsidR="002577FC" w:rsidRPr="00912D5E" w:rsidRDefault="002577FC" w:rsidP="002577FC">
            <w:pPr>
              <w:tabs>
                <w:tab w:val="left" w:pos="2977"/>
              </w:tabs>
              <w:rPr>
                <w:rFonts w:ascii="Arial" w:hAnsi="Arial" w:cs="Arial"/>
                <w:sz w:val="24"/>
                <w:szCs w:val="24"/>
                <w:lang w:val="en-US"/>
              </w:rPr>
            </w:pPr>
          </w:p>
        </w:tc>
      </w:tr>
      <w:tr w:rsidR="002577FC" w:rsidTr="002577FC">
        <w:tc>
          <w:tcPr>
            <w:tcW w:w="3080" w:type="dxa"/>
          </w:tcPr>
          <w:p w:rsidR="002577FC" w:rsidRPr="00912D5E" w:rsidRDefault="002577FC" w:rsidP="00912D5E">
            <w:pPr>
              <w:pStyle w:val="Default"/>
              <w:rPr>
                <w:rFonts w:ascii="Arial" w:hAnsi="Arial" w:cs="Arial"/>
                <w:lang w:val="en-US"/>
              </w:rPr>
            </w:pPr>
            <w:r w:rsidRPr="00912D5E">
              <w:rPr>
                <w:rFonts w:ascii="Arial" w:hAnsi="Arial" w:cs="Arial"/>
              </w:rPr>
              <w:t>Pro</w:t>
            </w:r>
            <w:r w:rsidR="004F7752" w:rsidRPr="00912D5E">
              <w:rPr>
                <w:rFonts w:ascii="Arial" w:hAnsi="Arial" w:cs="Arial"/>
              </w:rPr>
              <w:t>mote</w:t>
            </w:r>
            <w:r w:rsidRPr="00912D5E">
              <w:rPr>
                <w:rFonts w:ascii="Arial" w:hAnsi="Arial" w:cs="Arial"/>
              </w:rPr>
              <w:t xml:space="preserve"> diversity awareness information and </w:t>
            </w:r>
            <w:r w:rsidR="007B0EA2" w:rsidRPr="00912D5E">
              <w:rPr>
                <w:rFonts w:ascii="Arial" w:hAnsi="Arial" w:cs="Arial"/>
              </w:rPr>
              <w:t xml:space="preserve">the resources available </w:t>
            </w:r>
            <w:r w:rsidR="004F7752" w:rsidRPr="00912D5E">
              <w:rPr>
                <w:rFonts w:ascii="Arial" w:hAnsi="Arial" w:cs="Arial"/>
              </w:rPr>
              <w:t>about different groups within Gosport’s community</w:t>
            </w:r>
            <w:r w:rsidR="00912D5E" w:rsidRPr="00912D5E">
              <w:rPr>
                <w:rFonts w:ascii="Arial" w:hAnsi="Arial" w:cs="Arial"/>
              </w:rPr>
              <w:t>.</w:t>
            </w:r>
            <w:r w:rsidR="004F7752" w:rsidRPr="00912D5E">
              <w:rPr>
                <w:rFonts w:ascii="Arial" w:hAnsi="Arial" w:cs="Arial"/>
              </w:rPr>
              <w:t xml:space="preserve"> </w:t>
            </w:r>
          </w:p>
        </w:tc>
        <w:tc>
          <w:tcPr>
            <w:tcW w:w="3081" w:type="dxa"/>
          </w:tcPr>
          <w:p w:rsidR="002577FC" w:rsidRPr="00912D5E" w:rsidRDefault="002577FC" w:rsidP="002577FC">
            <w:pPr>
              <w:pStyle w:val="Default"/>
              <w:rPr>
                <w:rFonts w:ascii="Arial" w:hAnsi="Arial" w:cs="Arial"/>
              </w:rPr>
            </w:pPr>
            <w:r w:rsidRPr="00912D5E">
              <w:rPr>
                <w:rFonts w:ascii="Arial" w:hAnsi="Arial" w:cs="Arial"/>
              </w:rPr>
              <w:t>To raise staff awareness of</w:t>
            </w:r>
            <w:r w:rsidR="007B0EA2" w:rsidRPr="00912D5E">
              <w:rPr>
                <w:rFonts w:ascii="Arial" w:hAnsi="Arial" w:cs="Arial"/>
              </w:rPr>
              <w:t xml:space="preserve"> and confidence in engaging with </w:t>
            </w:r>
            <w:r w:rsidRPr="00912D5E">
              <w:rPr>
                <w:rFonts w:ascii="Arial" w:hAnsi="Arial" w:cs="Arial"/>
              </w:rPr>
              <w:t>the diversity within our community</w:t>
            </w:r>
            <w:r w:rsidR="00912D5E" w:rsidRPr="00912D5E">
              <w:rPr>
                <w:rFonts w:ascii="Arial" w:hAnsi="Arial" w:cs="Arial"/>
              </w:rPr>
              <w:t xml:space="preserve"> and foster greater understanding of</w:t>
            </w:r>
            <w:r w:rsidR="00343CEE" w:rsidRPr="00912D5E">
              <w:rPr>
                <w:rFonts w:ascii="Arial" w:hAnsi="Arial" w:cs="Arial"/>
              </w:rPr>
              <w:t xml:space="preserve"> </w:t>
            </w:r>
            <w:r w:rsidRPr="00912D5E">
              <w:rPr>
                <w:rFonts w:ascii="Arial" w:hAnsi="Arial" w:cs="Arial"/>
              </w:rPr>
              <w:t>the challenges faced by particular groups</w:t>
            </w:r>
            <w:r w:rsidR="00912D5E" w:rsidRPr="00912D5E">
              <w:rPr>
                <w:rFonts w:ascii="Arial" w:hAnsi="Arial" w:cs="Arial"/>
              </w:rPr>
              <w:t>.</w:t>
            </w:r>
            <w:r w:rsidR="00343CEE" w:rsidRPr="00912D5E">
              <w:rPr>
                <w:rFonts w:ascii="Arial" w:hAnsi="Arial" w:cs="Arial"/>
              </w:rPr>
              <w:t xml:space="preserve"> </w:t>
            </w:r>
          </w:p>
          <w:p w:rsidR="002577FC" w:rsidRPr="00912D5E" w:rsidRDefault="002577FC" w:rsidP="002577FC">
            <w:pPr>
              <w:tabs>
                <w:tab w:val="left" w:pos="2977"/>
              </w:tabs>
              <w:rPr>
                <w:rFonts w:ascii="Arial" w:hAnsi="Arial" w:cs="Arial"/>
                <w:sz w:val="24"/>
                <w:szCs w:val="24"/>
                <w:lang w:val="en-US"/>
              </w:rPr>
            </w:pPr>
          </w:p>
        </w:tc>
        <w:tc>
          <w:tcPr>
            <w:tcW w:w="3081" w:type="dxa"/>
          </w:tcPr>
          <w:p w:rsidR="0071001D" w:rsidRPr="00912D5E" w:rsidRDefault="0071001D" w:rsidP="0071001D">
            <w:pPr>
              <w:pStyle w:val="Default"/>
              <w:rPr>
                <w:rFonts w:ascii="Arial" w:hAnsi="Arial" w:cs="Arial"/>
              </w:rPr>
            </w:pPr>
            <w:r w:rsidRPr="00912D5E">
              <w:rPr>
                <w:rFonts w:ascii="Arial" w:hAnsi="Arial" w:cs="Arial"/>
              </w:rPr>
              <w:t xml:space="preserve">The number of awareness messages </w:t>
            </w:r>
            <w:r w:rsidR="00AE4FB5" w:rsidRPr="00912D5E">
              <w:rPr>
                <w:rFonts w:ascii="Arial" w:hAnsi="Arial" w:cs="Arial"/>
              </w:rPr>
              <w:t>and</w:t>
            </w:r>
            <w:r w:rsidRPr="00912D5E">
              <w:rPr>
                <w:rFonts w:ascii="Arial" w:hAnsi="Arial" w:cs="Arial"/>
              </w:rPr>
              <w:t xml:space="preserve"> additional </w:t>
            </w:r>
            <w:r w:rsidR="004F7752" w:rsidRPr="00912D5E">
              <w:rPr>
                <w:rFonts w:ascii="Arial" w:hAnsi="Arial" w:cs="Arial"/>
              </w:rPr>
              <w:t xml:space="preserve">equality &amp; diversity </w:t>
            </w:r>
            <w:r w:rsidRPr="00912D5E">
              <w:rPr>
                <w:rFonts w:ascii="Arial" w:hAnsi="Arial" w:cs="Arial"/>
              </w:rPr>
              <w:t>training opportunities offered will be recorded and completion</w:t>
            </w:r>
            <w:r w:rsidR="00343CEE" w:rsidRPr="00912D5E">
              <w:rPr>
                <w:rFonts w:ascii="Arial" w:hAnsi="Arial" w:cs="Arial"/>
              </w:rPr>
              <w:t xml:space="preserve"> of additional training is also recorded</w:t>
            </w:r>
            <w:r w:rsidR="00862B8D" w:rsidRPr="00912D5E">
              <w:rPr>
                <w:rFonts w:ascii="Arial" w:hAnsi="Arial" w:cs="Arial"/>
              </w:rPr>
              <w:t>.</w:t>
            </w:r>
            <w:r w:rsidRPr="00912D5E">
              <w:rPr>
                <w:rFonts w:ascii="Arial" w:hAnsi="Arial" w:cs="Arial"/>
              </w:rPr>
              <w:t xml:space="preserve"> </w:t>
            </w:r>
          </w:p>
          <w:p w:rsidR="002577FC" w:rsidRPr="00912D5E" w:rsidRDefault="002577FC" w:rsidP="002577FC">
            <w:pPr>
              <w:tabs>
                <w:tab w:val="left" w:pos="2977"/>
              </w:tabs>
              <w:rPr>
                <w:rFonts w:ascii="Arial" w:hAnsi="Arial" w:cs="Arial"/>
                <w:sz w:val="24"/>
                <w:szCs w:val="24"/>
                <w:lang w:val="en-US"/>
              </w:rPr>
            </w:pPr>
          </w:p>
        </w:tc>
      </w:tr>
      <w:tr w:rsidR="007B0EA2" w:rsidTr="002577FC">
        <w:tc>
          <w:tcPr>
            <w:tcW w:w="3080" w:type="dxa"/>
          </w:tcPr>
          <w:p w:rsidR="007B0EA2" w:rsidRPr="00912D5E" w:rsidRDefault="007B0EA2" w:rsidP="007B0EA2">
            <w:pPr>
              <w:rPr>
                <w:rFonts w:ascii="Arial" w:hAnsi="Arial" w:cs="Arial"/>
                <w:sz w:val="24"/>
                <w:szCs w:val="24"/>
              </w:rPr>
            </w:pPr>
            <w:r w:rsidRPr="00912D5E">
              <w:rPr>
                <w:rFonts w:ascii="Arial" w:hAnsi="Arial" w:cs="Arial"/>
                <w:sz w:val="24"/>
                <w:szCs w:val="24"/>
              </w:rPr>
              <w:t>Annually update and publish latest available information on Gosport’s  diversity profile</w:t>
            </w:r>
          </w:p>
        </w:tc>
        <w:tc>
          <w:tcPr>
            <w:tcW w:w="3081" w:type="dxa"/>
          </w:tcPr>
          <w:p w:rsidR="007B0EA2" w:rsidRPr="00912D5E" w:rsidRDefault="007B0EA2" w:rsidP="007B0EA2">
            <w:pPr>
              <w:rPr>
                <w:rFonts w:ascii="Arial" w:hAnsi="Arial" w:cs="Arial"/>
                <w:sz w:val="24"/>
                <w:szCs w:val="24"/>
              </w:rPr>
            </w:pPr>
            <w:r w:rsidRPr="00912D5E">
              <w:rPr>
                <w:rFonts w:ascii="Arial" w:hAnsi="Arial" w:cs="Arial"/>
                <w:sz w:val="24"/>
                <w:szCs w:val="24"/>
              </w:rPr>
              <w:t>Improved understanding of Gosport’s population and diversity profile can help local organisations and the Council plan and tailor services to better meet their needs</w:t>
            </w:r>
          </w:p>
        </w:tc>
        <w:tc>
          <w:tcPr>
            <w:tcW w:w="3081" w:type="dxa"/>
          </w:tcPr>
          <w:p w:rsidR="007B0EA2" w:rsidRPr="00912D5E" w:rsidRDefault="007B0EA2" w:rsidP="007B0EA2">
            <w:pPr>
              <w:rPr>
                <w:rFonts w:ascii="Arial" w:hAnsi="Arial" w:cs="Arial"/>
                <w:sz w:val="24"/>
                <w:szCs w:val="24"/>
              </w:rPr>
            </w:pPr>
            <w:r w:rsidRPr="00912D5E">
              <w:rPr>
                <w:rFonts w:ascii="Arial" w:hAnsi="Arial" w:cs="Arial"/>
                <w:sz w:val="24"/>
                <w:szCs w:val="24"/>
              </w:rPr>
              <w:t>Local information will be used to update the  Borough’s Diversity Profile along with other available data from Census, Health and other reliable data on the Borough’s population</w:t>
            </w:r>
          </w:p>
        </w:tc>
      </w:tr>
    </w:tbl>
    <w:p w:rsidR="002577FC" w:rsidRDefault="002577FC" w:rsidP="002577FC">
      <w:pPr>
        <w:tabs>
          <w:tab w:val="left" w:pos="2977"/>
        </w:tabs>
        <w:rPr>
          <w:rFonts w:ascii="Arial" w:hAnsi="Arial" w:cs="Arial"/>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3005"/>
        <w:gridCol w:w="3005"/>
        <w:gridCol w:w="3005"/>
      </w:tblGrid>
      <w:tr w:rsidR="007F1679">
        <w:trPr>
          <w:trHeight w:val="249"/>
        </w:trPr>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r>
      <w:tr w:rsidR="007F1679">
        <w:trPr>
          <w:trHeight w:val="1363"/>
        </w:trPr>
        <w:tc>
          <w:tcPr>
            <w:tcW w:w="3005" w:type="dxa"/>
          </w:tcPr>
          <w:p w:rsidR="007F1679" w:rsidRDefault="007F1679" w:rsidP="007F1679">
            <w:pPr>
              <w:pStyle w:val="Default"/>
              <w:rPr>
                <w:sz w:val="23"/>
                <w:szCs w:val="23"/>
              </w:rPr>
            </w:pPr>
          </w:p>
        </w:tc>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r>
      <w:tr w:rsidR="007F1679">
        <w:trPr>
          <w:trHeight w:val="1501"/>
        </w:trPr>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r>
              <w:rPr>
                <w:sz w:val="23"/>
                <w:szCs w:val="23"/>
              </w:rPr>
              <w:t xml:space="preserve"> </w:t>
            </w:r>
          </w:p>
        </w:tc>
      </w:tr>
      <w:tr w:rsidR="007F1679">
        <w:trPr>
          <w:trHeight w:val="944"/>
        </w:trPr>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c>
          <w:tcPr>
            <w:tcW w:w="3005" w:type="dxa"/>
          </w:tcPr>
          <w:p w:rsidR="007F1679" w:rsidRDefault="007F1679">
            <w:pPr>
              <w:pStyle w:val="Default"/>
              <w:rPr>
                <w:sz w:val="23"/>
                <w:szCs w:val="23"/>
              </w:rPr>
            </w:pPr>
          </w:p>
        </w:tc>
      </w:tr>
    </w:tbl>
    <w:p w:rsidR="007F1679" w:rsidRPr="007F1679" w:rsidRDefault="007F1679" w:rsidP="007F1679">
      <w:pPr>
        <w:rPr>
          <w:rFonts w:ascii="Arial" w:hAnsi="Arial" w:cs="Arial"/>
          <w:sz w:val="24"/>
          <w:szCs w:val="24"/>
          <w:lang w:val="en-US"/>
        </w:rPr>
      </w:pPr>
    </w:p>
    <w:sectPr w:rsidR="007F1679" w:rsidRPr="007F1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79"/>
    <w:rsid w:val="002577FC"/>
    <w:rsid w:val="00274772"/>
    <w:rsid w:val="002A1AFB"/>
    <w:rsid w:val="00343CEE"/>
    <w:rsid w:val="00371642"/>
    <w:rsid w:val="004F7752"/>
    <w:rsid w:val="0071001D"/>
    <w:rsid w:val="007B0EA2"/>
    <w:rsid w:val="007F1679"/>
    <w:rsid w:val="007F5C34"/>
    <w:rsid w:val="00862B8D"/>
    <w:rsid w:val="008832A5"/>
    <w:rsid w:val="00912D5E"/>
    <w:rsid w:val="00AE4FB5"/>
    <w:rsid w:val="00B15CB2"/>
    <w:rsid w:val="00C769AD"/>
    <w:rsid w:val="00CA268B"/>
    <w:rsid w:val="00CB7EDE"/>
    <w:rsid w:val="00D75092"/>
    <w:rsid w:val="00F0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6518-995C-44BE-9D23-08043349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679"/>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7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AFB"/>
    <w:rPr>
      <w:sz w:val="16"/>
      <w:szCs w:val="16"/>
    </w:rPr>
  </w:style>
  <w:style w:type="paragraph" w:styleId="CommentText">
    <w:name w:val="annotation text"/>
    <w:basedOn w:val="Normal"/>
    <w:link w:val="CommentTextChar"/>
    <w:uiPriority w:val="99"/>
    <w:semiHidden/>
    <w:unhideWhenUsed/>
    <w:rsid w:val="002A1AFB"/>
    <w:pPr>
      <w:spacing w:line="240" w:lineRule="auto"/>
    </w:pPr>
    <w:rPr>
      <w:sz w:val="20"/>
      <w:szCs w:val="20"/>
    </w:rPr>
  </w:style>
  <w:style w:type="character" w:customStyle="1" w:styleId="CommentTextChar">
    <w:name w:val="Comment Text Char"/>
    <w:basedOn w:val="DefaultParagraphFont"/>
    <w:link w:val="CommentText"/>
    <w:uiPriority w:val="99"/>
    <w:semiHidden/>
    <w:rsid w:val="002A1AFB"/>
    <w:rPr>
      <w:sz w:val="20"/>
      <w:szCs w:val="20"/>
    </w:rPr>
  </w:style>
  <w:style w:type="paragraph" w:styleId="CommentSubject">
    <w:name w:val="annotation subject"/>
    <w:basedOn w:val="CommentText"/>
    <w:next w:val="CommentText"/>
    <w:link w:val="CommentSubjectChar"/>
    <w:uiPriority w:val="99"/>
    <w:semiHidden/>
    <w:unhideWhenUsed/>
    <w:rsid w:val="002A1AFB"/>
    <w:rPr>
      <w:b/>
      <w:bCs/>
    </w:rPr>
  </w:style>
  <w:style w:type="character" w:customStyle="1" w:styleId="CommentSubjectChar">
    <w:name w:val="Comment Subject Char"/>
    <w:basedOn w:val="CommentTextChar"/>
    <w:link w:val="CommentSubject"/>
    <w:uiPriority w:val="99"/>
    <w:semiHidden/>
    <w:rsid w:val="002A1AFB"/>
    <w:rPr>
      <w:b/>
      <w:bCs/>
      <w:sz w:val="20"/>
      <w:szCs w:val="20"/>
    </w:rPr>
  </w:style>
  <w:style w:type="paragraph" w:styleId="BalloonText">
    <w:name w:val="Balloon Text"/>
    <w:basedOn w:val="Normal"/>
    <w:link w:val="BalloonTextChar"/>
    <w:uiPriority w:val="99"/>
    <w:semiHidden/>
    <w:unhideWhenUsed/>
    <w:rsid w:val="002A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Baggaley, Amanda</dc:creator>
  <cp:keywords/>
  <dc:description/>
  <cp:lastModifiedBy>Baggaley, Amanda</cp:lastModifiedBy>
  <cp:revision>2</cp:revision>
  <dcterms:created xsi:type="dcterms:W3CDTF">2022-03-28T11:07:00Z</dcterms:created>
  <dcterms:modified xsi:type="dcterms:W3CDTF">2022-03-28T11:07:00Z</dcterms:modified>
</cp:coreProperties>
</file>